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0" w:rsidRDefault="00FC1660" w:rsidP="00E3170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FC1660" w:rsidRPr="00E31703" w:rsidRDefault="0092206A" w:rsidP="00E3170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6"/>
        </w:rPr>
      </w:pPr>
      <w:r w:rsidRPr="00E31703">
        <w:rPr>
          <w:rFonts w:ascii="Times New Roman" w:eastAsia="Times New Roman" w:hAnsi="Times New Roman" w:cs="Times New Roman"/>
          <w:b/>
          <w:color w:val="333333"/>
          <w:sz w:val="36"/>
        </w:rPr>
        <w:t>Возрастные особенности детей 1,5-2 лет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Возраст от полутора до двух лет ознаменован относительным спокойствием, кризис миновал, ребенок становиться старше, понятливее и послушнее. Уровень развития 2-х летнего малыша часто колеблется в зависимости от его личностных особенностей.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возрасте 1,5-2 </w:t>
      </w:r>
      <w:r>
        <w:rPr>
          <w:rFonts w:ascii="Times New Roman" w:eastAsia="Times New Roman" w:hAnsi="Times New Roman" w:cs="Times New Roman"/>
          <w:color w:val="333333"/>
          <w:sz w:val="24"/>
        </w:rPr>
        <w:t>лет начинает раскрываться индивидуальность ребенка, проявляется его темперамент, определяются черты характера. Именно поэтому о маленьком ребенке можно говорить, как о развивающейся личности, так как в этот период закладываются основы таких качеств, как ко</w:t>
      </w:r>
      <w:r>
        <w:rPr>
          <w:rFonts w:ascii="Times New Roman" w:eastAsia="Times New Roman" w:hAnsi="Times New Roman" w:cs="Times New Roman"/>
          <w:color w:val="333333"/>
          <w:sz w:val="24"/>
        </w:rPr>
        <w:t>мпетентность, самостоятельность, творчество и т.д.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Главными задачами педагогического процесса этого возраста является амплификация (обогащение) развития, реализация принципов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, которые ориентируются не на усредненную личность, а на индивидуально</w:t>
      </w:r>
      <w:r>
        <w:rPr>
          <w:rFonts w:ascii="Times New Roman" w:eastAsia="Times New Roman" w:hAnsi="Times New Roman" w:cs="Times New Roman"/>
          <w:color w:val="333333"/>
          <w:sz w:val="24"/>
        </w:rPr>
        <w:t>сть каждого ребенка.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Решающим в развитии личности малыша являются социальные условия его жизни, то есть общение, обучающие взаимодействия, организация жизни в целом, влияние окружающей среды. При этом именно педагогические воздействия во многом определяют </w:t>
      </w:r>
      <w:r>
        <w:rPr>
          <w:rFonts w:ascii="Times New Roman" w:eastAsia="Times New Roman" w:hAnsi="Times New Roman" w:cs="Times New Roman"/>
          <w:color w:val="333333"/>
          <w:sz w:val="24"/>
        </w:rPr>
        <w:t>уровень развития ребенка. Они учитывают общие закономерности развития детей этого возраста, индивидуальные особенности. Это позволяет определить направление ближайшего развития.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Ведущей деятельностью в 1,5-2 года является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предметная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: действуя с предметами,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ребенок второго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</w:t>
      </w:r>
      <w:r>
        <w:rPr>
          <w:rFonts w:ascii="Times New Roman" w:eastAsia="Times New Roman" w:hAnsi="Times New Roman" w:cs="Times New Roman"/>
          <w:color w:val="333333"/>
          <w:sz w:val="24"/>
        </w:rPr>
        <w:t>ребления открывает ребенку взрослый.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раннем возрасте движения у детей несовершенные, неточные.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Маловыраженые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изгибы позвоночника, своды стопы, недостаточное развитие вестибулярного аппарата, высоко расположенный центр тяжести, слабость мышц ног — всё это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обусловливает частые падения ребёнка. У детей замедленная реакция, недостаточно развиты мышцы-разгибатели. Малыши быстро утомляются. Новые рефлекторные связи создаются легко, но непрочны. Движения детей схематичны, не согласованы, часто замедлены.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Этот во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зраст отличается быстрым развитием двигательной активности, 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адекватностью движений низкий, что часто приводит к травмам. Продолжается интенсивное развитие всех органов и физиологических систем, совершенствуются их функции. Ребёнок становится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более подвижным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 самостоятельным.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Дети раннего возраста любознательны, они продолжают осваивать окружающий предметный мир, начинают осваивать мир социальный. В этот период начинает происходить овладение социальным пространством человеческих отношений чер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ез общение с близкими взрослыми, а также через предметные и игровые отношения со сверстниками. Общение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взрослыми совершенствует речь малыша, вырабатывает психические реакции, адекватные обстановке.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Социальная ситуация развития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</w:t>
      </w:r>
      <w:r>
        <w:rPr>
          <w:rFonts w:ascii="Times New Roman" w:eastAsia="Times New Roman" w:hAnsi="Times New Roman" w:cs="Times New Roman"/>
          <w:color w:val="333333"/>
          <w:sz w:val="24"/>
        </w:rPr>
        <w:t>ие, речь, наглядно-действенное мышление, чувственное познание действительности.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Ребёнок в системе отношений ещё является центром своей семьи, однако наряду с близкими взрослыми в круг общения начинают включаться и другие взрослые (персонал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дошкольного учре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ждения). На этом фоне у детей развивается потребность в общении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взрослыми и сверстниками по поводу предметов, игрушек и действий с ними. Развивается способность устанавливать эмоциональные и деловые контакты.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Самооценка ярко эмоционально окрашена, связа</w:t>
      </w:r>
      <w:r>
        <w:rPr>
          <w:rFonts w:ascii="Times New Roman" w:eastAsia="Times New Roman" w:hAnsi="Times New Roman" w:cs="Times New Roman"/>
          <w:color w:val="333333"/>
          <w:sz w:val="24"/>
        </w:rPr>
        <w:t>на со стремлением быть хорошим, соответствовать требованиям взрослых, получить их одобрение.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Ребёнок начинает усваивать нормы поведения, а также различных форм общения.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Предметная деятельность определяет основные изменения в жизнедеятельности ребёнка. Дейс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твия ребёнка с предметами становятся более разнообразными и ловкими, совершенствуются навыки самообслуживания. Всё более осознанно хочет действовать как взрослый, его начинает привлекать не только процесс выполнения действия, но и его результат. Овладение </w:t>
      </w:r>
      <w:r>
        <w:rPr>
          <w:rFonts w:ascii="Times New Roman" w:eastAsia="Times New Roman" w:hAnsi="Times New Roman" w:cs="Times New Roman"/>
          <w:color w:val="333333"/>
          <w:sz w:val="24"/>
        </w:rPr>
        <w:t>предметной деятельностью стимулирует развитие таких личностных качеств детей, как инициативность, самостоятельность, целеустремлённость. Ребёнок становится всё более настойчивым в достижении поставленной цели.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Мышление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Ранний возраст — период активного экс</w:t>
      </w:r>
      <w:r>
        <w:rPr>
          <w:rFonts w:ascii="Times New Roman" w:eastAsia="Times New Roman" w:hAnsi="Times New Roman" w:cs="Times New Roman"/>
          <w:color w:val="333333"/>
          <w:sz w:val="24"/>
        </w:rPr>
        <w:t>периментирования ребёнка с предметным миром. Вещи, игрушки, 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</w:rPr>
        <w:t>ивотные, растения, вода, песок и многое другое, окружающее малыша, вызывает исследовательский интерес. На основе развития речи развивается наглядно-действенное мышление. Действуя с разнообразными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предметами, слыша от взрослых их названия, определение их свойств, ребёнок развивает мышление - различение, сравнение, установление сходства признаков предметов. Развивается и очень существенная функция речи – обобщение предметов по их основным признакам,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но пока только в понимаемой речи. К 2 годам при помощи речи и на основе расширяющегося опыта ребёнок начинает делать сравнения, определять сходство и различия предметов, обобщать предметы не только в понимаемой, но и в активной речи, устанавливать связь м</w:t>
      </w:r>
      <w:r>
        <w:rPr>
          <w:rFonts w:ascii="Times New Roman" w:eastAsia="Times New Roman" w:hAnsi="Times New Roman" w:cs="Times New Roman"/>
          <w:color w:val="333333"/>
          <w:sz w:val="24"/>
        </w:rPr>
        <w:t>ежду некоторыми явлениями – всё это отражает дальнейшее развитие. В ходе практического знакомства с ними совершенствуется восприятие, развивается мышление, подкрепляющееся вопросами познавательного характера. К концу раннего возраста у детей складываются э</w:t>
      </w:r>
      <w:r>
        <w:rPr>
          <w:rFonts w:ascii="Times New Roman" w:eastAsia="Times New Roman" w:hAnsi="Times New Roman" w:cs="Times New Roman"/>
          <w:color w:val="333333"/>
          <w:sz w:val="24"/>
        </w:rPr>
        <w:t>лементарные представления о таких свойствах предметов, как форма, величина, цвет, формируется способность соотносить, сравнивать их: малыши охотно выполняют действия по образцу, предлагаемому взрослым.</w:t>
      </w:r>
    </w:p>
    <w:p w:rsidR="00FC1660" w:rsidRDefault="00FC1660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Речь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Второй годом жизни – период интенсивного формиро</w:t>
      </w:r>
      <w:r>
        <w:rPr>
          <w:rFonts w:ascii="Times New Roman" w:eastAsia="Times New Roman" w:hAnsi="Times New Roman" w:cs="Times New Roman"/>
          <w:color w:val="333333"/>
          <w:sz w:val="24"/>
        </w:rPr>
        <w:t>вания речи. 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</w:t>
      </w:r>
      <w:r>
        <w:rPr>
          <w:rFonts w:ascii="Times New Roman" w:eastAsia="Times New Roman" w:hAnsi="Times New Roman" w:cs="Times New Roman"/>
          <w:color w:val="333333"/>
          <w:sz w:val="24"/>
        </w:rPr>
        <w:t>осприятия.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активном словаре ребёнка начала второго года жизни примерно 8-10 слов, в 2 года – 200-400 слов. Ребенок использует прилагательные, глаголы, местоимения, задает вопросы, знает названия окружающих его предметов. Говорит предложениями из 2-3 слов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декламирует маленькие стишки —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 Изображает животных: лает как собачка, мяукает как кошечка и т.д.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Развитие речи на втором году жизни включено в практическую деятельность по освоению предметов. Если связывать действие или предмет со словом-названи</w:t>
      </w:r>
      <w:r>
        <w:rPr>
          <w:rFonts w:ascii="Times New Roman" w:eastAsia="Times New Roman" w:hAnsi="Times New Roman" w:cs="Times New Roman"/>
          <w:color w:val="333333"/>
          <w:sz w:val="24"/>
        </w:rPr>
        <w:t>ем, то ребёнок осмысливает эти слова, они становятся обозначением действий. Упрощенные слова заменяются обычными, пусть и несовершенными в фонетическом отношении. После полутора лет ребенок чаще всего воспроизводит контур слова, наполняя его звуками-замени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телями, более или менее близкими по звучанию слышимому образцу. Попытки улучшить произношение, повторяя слово за взрослым, в этом возрасте не приносит успеха. Дети учатся выполнять словесные просьбы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взрослого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 пределах видимой, наглядной ситуации. На втор</w:t>
      </w:r>
      <w:r>
        <w:rPr>
          <w:rFonts w:ascii="Times New Roman" w:eastAsia="Times New Roman" w:hAnsi="Times New Roman" w:cs="Times New Roman"/>
          <w:color w:val="333333"/>
          <w:sz w:val="24"/>
        </w:rPr>
        <w:t>ом году жизни ребенок усваивает имена взрослых и детей, с которыми общается повседневно, а так же некоторые родственные отношения.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Быстро нарастает понимание ребёнком обращённой речи, легко устанавливается связь между предметами, действиями и их словесным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обозначением. Ребёнок начинает понимать речь взрослого, не подкреплённую ситуацией. Ему доступен смысл целых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предложений о событиях и явлениях из его личного опыта. К 2 годам малыш способен понять небольшой рассказ без иллюстраций, что свидетельствует о бо</w:t>
      </w:r>
      <w:r>
        <w:rPr>
          <w:rFonts w:ascii="Times New Roman" w:eastAsia="Times New Roman" w:hAnsi="Times New Roman" w:cs="Times New Roman"/>
          <w:color w:val="333333"/>
          <w:sz w:val="24"/>
        </w:rPr>
        <w:t>лее прочной связи слов с обозначаемыми ими предметами и действиями. Его деятельность может регулироваться словесно.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К 2 годам на смену облегчённым словам приходят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общеупотребительные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. Слова претерпевают грамматические трансформации. При общении начинается </w:t>
      </w:r>
      <w:r>
        <w:rPr>
          <w:rFonts w:ascii="Times New Roman" w:eastAsia="Times New Roman" w:hAnsi="Times New Roman" w:cs="Times New Roman"/>
          <w:color w:val="333333"/>
          <w:sz w:val="24"/>
        </w:rPr>
        <w:t>использование простых фраз сначала из двух, а потом из трёх слов. Речь эмоциональна и интонационно более выразительна. Она становится средством общения, а также выполняет сопроводительную функцию в процессе жизнедеятельности. К концу периода малыш начинает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точнее обобщать предметы, группирует по просьбе взрослого однородные объекты; начинает выполнять действия только по слову, без наглядного подкрепления и показа.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Восприятие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Восприятие — фундаментальная психическая функция, она составляет центр сознания реб</w:t>
      </w:r>
      <w:r>
        <w:rPr>
          <w:rFonts w:ascii="Times New Roman" w:eastAsia="Times New Roman" w:hAnsi="Times New Roman" w:cs="Times New Roman"/>
          <w:color w:val="333333"/>
          <w:sz w:val="24"/>
        </w:rPr>
        <w:t>ёнка и обеспечивает ориентацию в окружающем. Восприятие развивается в процессе практических действий, общения, игры.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Особенности восприятия ребенка второго года жизни наблюдаются в том, что он рассматривает и узнаёт предметы и игрушки; различает знакомые п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редметы и игрушки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однопредметных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картинках; трогает руками собственное отражение в зеркале; усваивает назначение и способы употребления окружающих предметов, т.е. осуществляет элементарные предметные действия (ставит кубик на кубик; снимает кольца со ст</w:t>
      </w:r>
      <w:r>
        <w:rPr>
          <w:rFonts w:ascii="Times New Roman" w:eastAsia="Times New Roman" w:hAnsi="Times New Roman" w:cs="Times New Roman"/>
          <w:color w:val="333333"/>
          <w:sz w:val="24"/>
        </w:rPr>
        <w:t>ержня пирамидки и надевает;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катает машинку); услышав знакомое слово со значением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называния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ребёнок смотрит в сторону названного близкого человека или предмета; правильно реагирует на просьбы взрослого. К 2 годам ребёнок соотносит игрушку и предметную карти</w:t>
      </w:r>
      <w:r>
        <w:rPr>
          <w:rFonts w:ascii="Times New Roman" w:eastAsia="Times New Roman" w:hAnsi="Times New Roman" w:cs="Times New Roman"/>
          <w:color w:val="333333"/>
          <w:sz w:val="24"/>
        </w:rPr>
        <w:t>нку («Дай такую»). Сличает предметы по цвету, величине, форме. Хорошо слышит звуки окружающей действительности, реагирует на них и различает их.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Память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детей раннего возраста память образная, непроизвольная. В этот период активно идёт процесс развития не</w:t>
      </w:r>
      <w:r>
        <w:rPr>
          <w:rFonts w:ascii="Times New Roman" w:eastAsia="Times New Roman" w:hAnsi="Times New Roman" w:cs="Times New Roman"/>
          <w:color w:val="333333"/>
          <w:sz w:val="24"/>
        </w:rPr>
        <w:t>рвной системы, благодаря чему увеличивается объём и прочность запоминания. Преобладает узнавание, а не запоминание. Ребёнок быстро запоминает стихотворения, сказки, рассказы, сопереживает их героям. Хорошо запоминается только то, что было непосредственно с</w:t>
      </w:r>
      <w:r>
        <w:rPr>
          <w:rFonts w:ascii="Times New Roman" w:eastAsia="Times New Roman" w:hAnsi="Times New Roman" w:cs="Times New Roman"/>
          <w:color w:val="333333"/>
          <w:sz w:val="24"/>
        </w:rPr>
        <w:t>вязано с его деятельностью, было интересно и эмоционально окрашено. Быстрому обогащению опыта ребёнка способствует особенность освоения ходьбы. На втором году жизни формируются основы образной памяти, поэтому первые осознанные воспоминания относятся к этом</w:t>
      </w:r>
      <w:r>
        <w:rPr>
          <w:rFonts w:ascii="Times New Roman" w:eastAsia="Times New Roman" w:hAnsi="Times New Roman" w:cs="Times New Roman"/>
          <w:color w:val="333333"/>
          <w:sz w:val="24"/>
        </w:rPr>
        <w:t>у периоду детства.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Внимание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Произвольное внимание ещё не развито, поэтому ребёнку трудно делать то, что не вызывает интерес, он быстро переключается с одной деятельности на другую. Получив возможность самостоятельно перемещаться в пространстве, ребёнок бол</w:t>
      </w:r>
      <w:r>
        <w:rPr>
          <w:rFonts w:ascii="Times New Roman" w:eastAsia="Times New Roman" w:hAnsi="Times New Roman" w:cs="Times New Roman"/>
          <w:color w:val="333333"/>
          <w:sz w:val="24"/>
        </w:rPr>
        <w:t>ее активно включается в процесс познания окружающего мира. В этот период внимание ребёнка всё ещё слабое, неустойчивое, носит непроизвольный характер. Оно не требует каких-либо усилий, являясь лишь реакцией на всё необычное, яркое или представляющее угрозу</w:t>
      </w:r>
      <w:r>
        <w:rPr>
          <w:rFonts w:ascii="Times New Roman" w:eastAsia="Times New Roman" w:hAnsi="Times New Roman" w:cs="Times New Roman"/>
          <w:color w:val="333333"/>
          <w:sz w:val="24"/>
        </w:rPr>
        <w:t>. Длительность сосредоточения внимания ребёнка на объекте – 2-3 минуты. Отличительной особенностью внимания ребёнка этого возраста является его ригидность, трудности переключения с одного действия на другое.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Воображение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Главное достижение этого возраста —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быстрое развитие воображения, для которого игра является благоприятной почвой. Это выражается в использовании замещающих действий и предметов. К двум годам ребёнок способен преодолеть навязываемый сюжетными игрушками ход игры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переструктурировать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ситуацию</w:t>
      </w:r>
      <w:r>
        <w:rPr>
          <w:rFonts w:ascii="Times New Roman" w:eastAsia="Times New Roman" w:hAnsi="Times New Roman" w:cs="Times New Roman"/>
          <w:color w:val="333333"/>
          <w:sz w:val="24"/>
        </w:rPr>
        <w:t>, придумав собственный сюжет, построенный на одних лишь замещениях.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Эмоционально-личностная сфера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Для детей раннего возраста характерна эмоциональная лабильность — быстрые переходы от одного эмоционального состояния к другому – согласия в капризы, радости в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обиду. У ребёнка чётко выявляются индивидуальные черты характера. Эмоции. Реакции ребёнка непоср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едственны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немедленны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 Эмоции отличает переключаемость. Ребёнок охотно вступает в эмоциональный контакт.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К 2 годам происходит осознание своего Я, понимание различий между девочками и мальчиками, отношений «взрослый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ебёнок – родитель». Возникающие таким образом отношения являются необходимой предпосылкой для развития чувства семьи, соотносимого, в свою очере</w:t>
      </w:r>
      <w:r>
        <w:rPr>
          <w:rFonts w:ascii="Times New Roman" w:eastAsia="Times New Roman" w:hAnsi="Times New Roman" w:cs="Times New Roman"/>
          <w:color w:val="333333"/>
          <w:sz w:val="24"/>
        </w:rPr>
        <w:t>дь, с чувством рода и более широко с чувством человеческой общности.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Развитие самосознания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Содержание сознания в значительной мере заполняется в результате сенсорного опыта ребёнка. Разнообразие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полимодальность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сенсорных впечатлений, которые получают все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анализаторные системы, имеет большое значение для его развития. По мере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накопленные чувственные образы приобретают свои словесные обозначения и смыслы («Из чашки пьют»).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Внутренний мир ребёнка начинает наполняться противоречиями: он стремитс</w:t>
      </w:r>
      <w:r>
        <w:rPr>
          <w:rFonts w:ascii="Times New Roman" w:eastAsia="Times New Roman" w:hAnsi="Times New Roman" w:cs="Times New Roman"/>
          <w:color w:val="333333"/>
          <w:sz w:val="24"/>
        </w:rPr>
        <w:t>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Для ребёнка становится важным его успешность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неуспешност</w:t>
      </w:r>
      <w:r>
        <w:rPr>
          <w:rFonts w:ascii="Times New Roman" w:eastAsia="Times New Roman" w:hAnsi="Times New Roman" w:cs="Times New Roman"/>
          <w:color w:val="333333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 делах и играх.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Отношение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взрослыми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Взрослый является своеобразным проводником в мир людей, природы, вещей. Доброе отношение, доверие, чувство защищённости помогают ребёнку войти в мир. Расширяется ориентировка в ближайшем окружении. Знание того, как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называются части помещения группы, помогает ребенку выполнять не сложные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объективно-на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правленный характер.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</w:t>
      </w:r>
      <w:r>
        <w:rPr>
          <w:rFonts w:ascii="Times New Roman" w:eastAsia="Times New Roman" w:hAnsi="Times New Roman" w:cs="Times New Roman"/>
          <w:color w:val="333333"/>
          <w:sz w:val="24"/>
        </w:rPr>
        <w:t>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Отношения со сверстниками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 втором году жизни между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детьми сохраняется и развивается тип эмоционального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взаимообщения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 Они самостоятельно играют друг с другом в разученные ранее при помощи взрослого игры.</w:t>
      </w:r>
      <w:r w:rsidR="00E31703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Однако опыт взаимодействия у детей не велик, и основа его еще не сформирована. Имеет место непонимание </w:t>
      </w:r>
      <w:r>
        <w:rPr>
          <w:rFonts w:ascii="Times New Roman" w:eastAsia="Times New Roman" w:hAnsi="Times New Roman" w:cs="Times New Roman"/>
          <w:color w:val="333333"/>
          <w:sz w:val="24"/>
        </w:rPr>
        <w:t>со стороны предполагаемого партнера. Ребенок может расплакаться и даже ударить жалеющего его. Он активно протестует против вмешательства в свою игру. Малыши любят бегать, прыгать друг перед другом, подражать звукам, заражая один другого весельем. Таким обр</w:t>
      </w:r>
      <w:r>
        <w:rPr>
          <w:rFonts w:ascii="Times New Roman" w:eastAsia="Times New Roman" w:hAnsi="Times New Roman" w:cs="Times New Roman"/>
          <w:color w:val="333333"/>
          <w:sz w:val="24"/>
        </w:rPr>
        <w:t>азом, дети примеривают друг к другу свои возможности и умения, опробуют разные способы взаимодействия. Взаимодействие детей в течение дня возникает, как правило, в предметно-игровой деятельности и самообслуживание только формируются, самостоятельность, заи</w:t>
      </w:r>
      <w:r>
        <w:rPr>
          <w:rFonts w:ascii="Times New Roman" w:eastAsia="Times New Roman" w:hAnsi="Times New Roman" w:cs="Times New Roman"/>
          <w:color w:val="333333"/>
          <w:sz w:val="24"/>
        </w:rPr>
        <w:t>нтересованность в их выполнении следует всячески оберегать. Дети приучаются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</w:t>
      </w:r>
      <w:r>
        <w:rPr>
          <w:rFonts w:ascii="Times New Roman" w:eastAsia="Times New Roman" w:hAnsi="Times New Roman" w:cs="Times New Roman"/>
          <w:color w:val="333333"/>
          <w:sz w:val="24"/>
        </w:rPr>
        <w:t>тствующим образом: не лесть в тарелку соседа, не мешать в спальне и т.д. В ходе таких эмоционально окрашенных игр дети ощущают своё сходство, равенство возможностей, учатся договариваться на языке действий и сопрягать их с партнёром. Ребёнок, наблюдая за р</w:t>
      </w:r>
      <w:r>
        <w:rPr>
          <w:rFonts w:ascii="Times New Roman" w:eastAsia="Times New Roman" w:hAnsi="Times New Roman" w:cs="Times New Roman"/>
          <w:color w:val="333333"/>
          <w:sz w:val="24"/>
        </w:rPr>
        <w:t>овесником и подражая его действиям, познаёт себя.</w:t>
      </w:r>
    </w:p>
    <w:p w:rsidR="00FC1660" w:rsidRDefault="00FC1660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C1660" w:rsidRDefault="00FC1660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1703" w:rsidRDefault="00E31703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E31703" w:rsidRDefault="00E31703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E31703" w:rsidRDefault="00E31703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Деятельность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этот период наиболее интенсивно происходит формирование предметной деятельности. Ребёнок использует предметы по функциональному назначению. Выполняет соотносящиеся действия (с матрёшкой, ку</w:t>
      </w:r>
      <w:r>
        <w:rPr>
          <w:rFonts w:ascii="Times New Roman" w:eastAsia="Times New Roman" w:hAnsi="Times New Roman" w:cs="Times New Roman"/>
          <w:color w:val="333333"/>
          <w:sz w:val="24"/>
        </w:rPr>
        <w:t>биками-вкладышами), а также процессуальные действия. В 1,5-2 года дети начинают пользоваться предметами-заместителями (палочка-термометр, кубик-мыло и т.п.), к 2 годам – воображаемыми предметами. Ребёнок переходит от элементарной ориентировочной реакции: «</w:t>
      </w:r>
      <w:r>
        <w:rPr>
          <w:rFonts w:ascii="Times New Roman" w:eastAsia="Times New Roman" w:hAnsi="Times New Roman" w:cs="Times New Roman"/>
          <w:color w:val="333333"/>
          <w:sz w:val="24"/>
        </w:rPr>
        <w:t>Что с этим можно делать?». Объект сосредоточения – как взрослый, так и предметы, их признаки и действия с предметами. В предметной деятельности появляются соотносящие и орудийные действия.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Игровая деятельность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 втором году жизни из отдельных действий скл</w:t>
      </w:r>
      <w:r>
        <w:rPr>
          <w:rFonts w:ascii="Times New Roman" w:eastAsia="Times New Roman" w:hAnsi="Times New Roman" w:cs="Times New Roman"/>
          <w:color w:val="333333"/>
          <w:sz w:val="24"/>
        </w:rPr>
        <w:t>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Значительные перемены происходят и в действиях с сюжетными игрушками. Дети начинают переносить разученное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подряд 2–3 действия, они сначала не ориентируются н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привычная 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жизненная последовательность: погуляв с куклой, кормят ее и укладывают спать. Бытовые д</w:t>
      </w:r>
      <w:r>
        <w:rPr>
          <w:rFonts w:ascii="Times New Roman" w:eastAsia="Times New Roman" w:hAnsi="Times New Roman" w:cs="Times New Roman"/>
          <w:color w:val="333333"/>
          <w:sz w:val="24"/>
        </w:rPr>
        <w:t>ействия с сюжетными игрушками дети воспроизводят на протяжении всего периода дошкольного детства. Для ребёнка привлекательны действия взрослых, у него появляется стремление жить общей жизнью с ними. Он хочет делать то же и так же, как они. Тенденция подраж</w:t>
      </w:r>
      <w:r>
        <w:rPr>
          <w:rFonts w:ascii="Times New Roman" w:eastAsia="Times New Roman" w:hAnsi="Times New Roman" w:cs="Times New Roman"/>
          <w:color w:val="333333"/>
          <w:sz w:val="24"/>
        </w:rPr>
        <w:t>ать взрослому лежит в основе появления процессуальной игры, в ходе которой ребёнок в условном плане,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понарошку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» может действовать как взрослый. Ребёнок отражает в игре то, что он видит вокруг себя, то, что с ним происходит. Становление процессуальной игры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— одна из главных линий развития детей раннего возраста.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Развитие координации движений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Одним из главных приобретений второго года жизни можно считать совершенствование основных движений, особенно ходьбы. Подвижность ребенка порой даже мешает ему сосредото</w:t>
      </w:r>
      <w:r>
        <w:rPr>
          <w:rFonts w:ascii="Times New Roman" w:eastAsia="Times New Roman" w:hAnsi="Times New Roman" w:cs="Times New Roman"/>
          <w:color w:val="333333"/>
          <w:sz w:val="24"/>
        </w:rPr>
        <w:t>читься на спокойных занятиях. Может сам залезть на стул, подняться по лестнице. Легко перешагивает препятствие, хорошо бегает, прыгает на двух ногах, короткое время стоит на одной ноге. Изображает животных: скачет как лошадка, ползет как черепаха и т.д. Бр</w:t>
      </w:r>
      <w:r>
        <w:rPr>
          <w:rFonts w:ascii="Times New Roman" w:eastAsia="Times New Roman" w:hAnsi="Times New Roman" w:cs="Times New Roman"/>
          <w:color w:val="333333"/>
          <w:sz w:val="24"/>
        </w:rPr>
        <w:t>осает мяч руками из-за головы, старается поймать мяч.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Бытовые навыки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 снимает шапку, носки, перчатки, трусы, расстегивает молнию. Пытается снимать штаны, куртку, колготки. Самостоятельно пьет из чашки, ест ложкой, умеет дуть на горячее, умывается, вытир</w:t>
      </w:r>
      <w:r>
        <w:rPr>
          <w:rFonts w:ascii="Times New Roman" w:eastAsia="Times New Roman" w:hAnsi="Times New Roman" w:cs="Times New Roman"/>
          <w:color w:val="333333"/>
          <w:sz w:val="24"/>
        </w:rPr>
        <w:t>ает руки, пытается чистить зубы, подражая взрослым.</w:t>
      </w:r>
    </w:p>
    <w:p w:rsidR="00FC1660" w:rsidRDefault="0092206A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3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Таким образом, в период от 1,5 до 2 лет, 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</w:t>
      </w:r>
      <w:r>
        <w:rPr>
          <w:rFonts w:ascii="Times New Roman" w:eastAsia="Times New Roman" w:hAnsi="Times New Roman" w:cs="Times New Roman"/>
          <w:color w:val="333333"/>
          <w:sz w:val="24"/>
        </w:rPr>
        <w:t>гать, если это понятно и несложно). Все это является основой для развития в будущем совместной игровой деятельности.</w:t>
      </w:r>
    </w:p>
    <w:p w:rsidR="00FC1660" w:rsidRDefault="00FC1660" w:rsidP="00E31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FC1660" w:rsidRDefault="00FC1660" w:rsidP="00E31703">
      <w:pPr>
        <w:pStyle w:val="af8"/>
        <w:ind w:firstLine="851"/>
        <w:contextualSpacing/>
        <w:rPr>
          <w:rFonts w:ascii="Times New Roman" w:eastAsia="Times New Roman" w:hAnsi="Times New Roman" w:cs="Times New Roman"/>
        </w:rPr>
      </w:pPr>
    </w:p>
    <w:sectPr w:rsidR="00FC1660" w:rsidSect="00E31703">
      <w:pgSz w:w="11906" w:h="16838"/>
      <w:pgMar w:top="709" w:right="850" w:bottom="1134" w:left="1701" w:header="709" w:footer="709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6A" w:rsidRDefault="0092206A">
      <w:pPr>
        <w:spacing w:after="0" w:line="240" w:lineRule="auto"/>
      </w:pPr>
      <w:r>
        <w:separator/>
      </w:r>
    </w:p>
  </w:endnote>
  <w:endnote w:type="continuationSeparator" w:id="0">
    <w:p w:rsidR="0092206A" w:rsidRDefault="0092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6A" w:rsidRDefault="0092206A">
      <w:pPr>
        <w:spacing w:after="0" w:line="240" w:lineRule="auto"/>
      </w:pPr>
      <w:r>
        <w:separator/>
      </w:r>
    </w:p>
  </w:footnote>
  <w:footnote w:type="continuationSeparator" w:id="0">
    <w:p w:rsidR="0092206A" w:rsidRDefault="0092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3E9"/>
    <w:multiLevelType w:val="hybridMultilevel"/>
    <w:tmpl w:val="40DC87B8"/>
    <w:lvl w:ilvl="0" w:tplc="45BC90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1" w:tplc="54A811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2" w:tplc="1E4A67D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3" w:tplc="F6C81B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4" w:tplc="6C00D7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5" w:tplc="D75C75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6" w:tplc="7CC86F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7" w:tplc="94FC16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  <w:lvl w:ilvl="8" w:tplc="A2669E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88CC"/>
        <w:sz w:val="20"/>
        <w:highlight w:val="whit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0"/>
    <w:rsid w:val="0092206A"/>
    <w:rsid w:val="00E3170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15318</Characters>
  <Application>Microsoft Office Word</Application>
  <DocSecurity>0</DocSecurity>
  <Lines>127</Lines>
  <Paragraphs>35</Paragraphs>
  <ScaleCrop>false</ScaleCrop>
  <Company>Krokoz™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User01</cp:lastModifiedBy>
  <cp:revision>4</cp:revision>
  <dcterms:created xsi:type="dcterms:W3CDTF">2024-04-25T23:18:00Z</dcterms:created>
  <dcterms:modified xsi:type="dcterms:W3CDTF">2024-04-25T23:21:00Z</dcterms:modified>
</cp:coreProperties>
</file>